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8"/>
          <w:szCs w:val="28"/>
        </w:rPr>
        <w:t>Concept verslag Borgingscommissie Gelders Energieakkoord 3 maart 2016</w:t>
        <w:br/>
      </w:r>
      <w:r>
        <w:rPr/>
        <w:t>3 maart, 14.00u-16.00u, Nijmegen</w:t>
        <w:br/>
        <w:t>Deelnemers (32 in aantal):  Gijs Linthorst (vice-voorzitter GEA; voorzitter vergadering), Thijs de la Court (algemeen secretaris GEA), Marie Jose Ruiken (GEA-secretariaat), Maarten Visschers (GEA-secretariaat), Jan van Eijsden (wethouder Ermelo), Pieter Teeninga (wethouder gemeente Harderwijk, Dagelijks bestuur RVV), Leon Meijer (wethouder Ede; regio Food Valley), Trix van der Linden (wethouder Lochem; regio Stedendriehoek), Lara de Brito (wethouder Wageningen), Tienke van der Werf (wethouder Zevenaar), Piet de Klein (wethouder Beuningen), Frans Langeveld (wethouder Doetinchem), Joke Pot (wethouder Berkelland, Regio Achterhoek), Griedo Bel (wethouder gemeente Lingewaal), Henriette Tiemens (wethouder gemeente Nijmegen), Michiel Hustinx (gemeente Nijmegen), Marion Visser (gemeente Arnhem), Simon Miske (IGEV; Regio Noord-Veluwe), Johan Bakker (Waterschap Rivierenland; plaatsvervanger voor Hennie Roorda), Yvonne Tieleman (provincie Gelderland), Jan Bekhuis (provincie Gelderland), Stefan van Tongeren (Energiecoöperatie 11duurzaam; Vereniging Energiecoöperaties Gelderland, VECG), Jan de Wit (Rijn en IJssel Energie Coöperatie), Pallas Agterberg (Alliander), Pieter van der Ploeg (Alliander, Stuurgroep GEA), Wim Nabbe (DEC Liemers), Christian Lorist (VNO-NCW Midden, Stuurgroep GEA), Gerrit Jan Koopman (VNP), Toine Straatman (Koninklijke Metaalunie), Jan Willem Strebus (Omgevingsdienst Veluwe IJssel), Harry Webers (kiEMT), Pieter Verberne (kiEMT), Anna Schoenmaker (Klimaatverbond), Volkert Vintges (Gelderse Natuur en Milieufederatie; stuurgroep GEA), Jan Straatman (Achterhoek Duurzaam Verbouwen), Berthold van Benthem (Uneto-VNI), Robert ter Hoek (Bouwend Nederland).</w:t>
        <w:br/>
        <w:t>Afgemeld: Rob Oostermeijer (GEA-secretariaat, VNO-NCW)</w:t>
        <w:br/>
        <w:br/>
        <w:t>Concept-agenda:</w:t>
        <w:br/>
        <w:t>1. Opening en mededelingen</w:t>
        <w:br/>
        <w:t>2. Presentatie GEA monitor</w:t>
        <w:br/>
        <w:t>3.  Bespreking concept-Uitvoeringsplan aan de hand van de oplegnotitie met als onderwerpen: algemeen, keuzes voor het totale akkoord, keuzes tav energiebesparingsactiviteiten/ energieopwekking/ mobiliteit.</w:t>
        <w:br/>
        <w:t>4. Vervolgproces</w:t>
        <w:br/>
        <w:t>5. Rondvraag</w:t>
        <w:br/>
        <w:t>6. Sluiting</w:t>
        <w:br/>
      </w:r>
      <w:r>
        <w:rPr>
          <w:b/>
        </w:rPr>
        <w:br/>
        <w:t>1. Opening en mededelingen</w:t>
        <w:br/>
      </w:r>
      <w:r>
        <w:rPr/>
        <w:t>Voorzitter Gijs Linthorst opent de vergadering van de Borgingscommissie van het Gelders Energieakkoord en heet iedereen welkom. Hij geeft aan dat vandaag de goedkeuring voor het voorliggende concept-Uitvoeringsplan wordt gevraagd. De concept-agenda wordt zonder wijziging vastgesteld.</w:t>
      </w:r>
    </w:p>
    <w:p>
      <w:pPr>
        <w:pStyle w:val="Normal"/>
        <w:rPr/>
      </w:pPr>
      <w:r>
        <w:rPr/>
        <w:t xml:space="preserve">Algemeen secretaris Thijs de la Court nodigt de leden van de Borgingscommissie nogmaals uit voor het congres op donderdagavond 17 maart (17.30u-21.30u kantoor Alliander te Duiven). Een speciale krant over het Gelders Energieakkoord wordt dan uitgegeven en de nieuwe website wordt dan openbaar gemaakt. Hij roept de leden op om de achterbannen uit te nodigen. </w:t>
        <w:br/>
        <w:br/>
      </w:r>
      <w:r>
        <w:rPr>
          <w:b/>
        </w:rPr>
        <w:t>2. Presentatie GEA monitor</w:t>
      </w:r>
      <w:r>
        <w:rPr/>
        <w:br/>
        <w:t xml:space="preserve">Pieter van der Ploeg van Alliander geeft een presentatie </w:t>
      </w:r>
      <w:bookmarkStart w:id="0" w:name="_GoBack"/>
      <w:bookmarkEnd w:id="0"/>
      <w:r>
        <w:rPr/>
        <w:t xml:space="preserve">over de nulmeting en monitoring van het Gelders energieverbruik. Aan de monitor worden diverse eisen gesteld. Onder meer dat deze kwantitatief, herhaalbaar en herleidbaar is. En aansluit bij de landelijke monitoring. Er zijn verschillen te zien tussen het zakelijk verbruik en verbruik in de woningbouw. Dit komt omdat er bij gecombineerde woningbouw van een woning mét cq boven een winkel sprake kan zijn van slechts één gasmeter. </w:t>
        <w:br/>
        <w:t xml:space="preserve">Bij het potentieel duurzame energie betreft zon het potentieel aan zonne-energie op basis van de zonne-atlas. Bij het potentieel aan windenergie is uitgegaan van hetgeen technisch mogelijk is. </w:t>
        <w:br/>
        <w:t>Er zijn 55 rapportages op gemeentelijk niveau opgesteld en daarnaast rapportages op regionaal niveau. De in deze presentatie genoemde getallen zijn voorlopig. De definitieve versie van de nul-meting voor provincie, regio’s en gemeenten komt medio week 11 2016 beschikbaar.</w:t>
        <w:br/>
        <w:t>De gepresenteerde sheets worden meegestuurd  met het concept-verslag.</w:t>
      </w:r>
    </w:p>
    <w:p>
      <w:pPr>
        <w:pStyle w:val="Normal"/>
        <w:rPr>
          <w:b/>
          <w:b/>
        </w:rPr>
      </w:pPr>
      <w:r>
        <w:rPr>
          <w:b/>
        </w:rPr>
        <w:t>3.  Bespreking concept-Uitvoeringsplan</w:t>
        <w:br/>
      </w:r>
      <w:r>
        <w:rPr/>
        <w:t xml:space="preserve">De voorzitter geeft aan dat goedkeuring voor het concept-Uitvoeringsplan wordt gevraagd. Dit gebeurt door de onderdelen van de meegestuurde oplegnotitie bij het concept te bespreken en goed te keuren. Thijs de la Court licht de verschillende delen van de oplegnotitie (dd 26 februari 2016) toe waarna er een discussie volgt. </w:t>
        <w:br/>
        <w:br/>
      </w:r>
      <w:r>
        <w:rPr>
          <w:b/>
        </w:rPr>
        <w:t>3a. Algemeen/ Financien/ Structuur in programma`s</w:t>
      </w:r>
    </w:p>
    <w:p>
      <w:pPr>
        <w:pStyle w:val="Normal"/>
        <w:rPr/>
      </w:pPr>
      <w:r>
        <w:rPr/>
        <w:t>Het totale budget/reservering bij de provincie Gelderland wordt in 2016 niet in zijn geheel ingezet.</w:t>
      </w:r>
      <w:r>
        <w:rPr>
          <w:b/>
        </w:rPr>
        <w:br/>
      </w:r>
      <w:r>
        <w:rPr/>
        <w:t>Er  is een ruimte van ruim 10 miljoen in reserve gehouden. Via oa  een nieuwe injectie in het IEG fonds) wordt rond de 35 miljoen aan revolverende middelen en garantiestellingen ingezet</w:t>
      </w:r>
    </w:p>
    <w:p>
      <w:pPr>
        <w:pStyle w:val="Normal"/>
        <w:rPr/>
      </w:pPr>
      <w:r>
        <w:rPr/>
        <w:t>Christian Lorist (VNO-NCW) stelt dat er ook businesscases zijn met een garantstelling. Die ziet hij niet terug. Bij een fonds wordt veelal een rente van ca 10% gevraagd. Dat is waarschijnlijk niet interessant voor de markt. Hij houdt een pleidooi voor een fonds ten behoeve van garantiestelling. Het fonds dient gebaseerd te zijn op het aanbod van de businesscases. De vraag is hoe je met 35 miljoen zoveel mogelijk geld uit de markt en maatschappij kunt halen cq kunt mobiliseren.  Het gaat om een fonds op korte termijn voor  de pilots. Hij geeft mee om uit te rekenen hoe  een  maximaal volume uit de markt is te halen. Ook om buitenlandse investeerders te interesseren. Chris Lorist geeft aan dat hij nu contact heeft met een Zwitsers fonds dat werkt met een rentepercentage van 3.6%. Hij pleit er voor om meer stamkapitaal in te zetten. Laat het geld niet dood op de bank staan.</w:t>
      </w:r>
    </w:p>
    <w:p>
      <w:pPr>
        <w:pStyle w:val="Normal"/>
        <w:rPr/>
      </w:pPr>
      <w:r>
        <w:rPr/>
        <w:t xml:space="preserve">Thijs de la Court geeft aan het geld bij een garantiestelling niet mag worden uitgegeven, men mag ahw niet aan het geld komen. Het is dan zgn ‘dood’ geld. Het IEG Fonds is ook voor garantstelling. Van belang is om functionele businesscases in te zetten. PPM Oost wil geld laten bewegen. Renderende projecten kunnen gebruik maken van een duurzaamheidsfonds.  Ook Junckergelden en kleinere fondsen (minder mobiele fondsen en kapitalen) worden bekeken.  Hij vindt het een goede gedachten van Chris Lorist. Helderheid creëren over vormen van  financiele beleggingen die het meest renderen. Het zal via een nieuwe notitie worden uitgewerkt. Besluitvorming over de inzet van provinciale middelen ligt uiteindelijk bij de staten in juni.  </w:t>
      </w:r>
    </w:p>
    <w:p>
      <w:pPr>
        <w:pStyle w:val="Normal"/>
        <w:rPr/>
      </w:pPr>
      <w:r>
        <w:rPr/>
        <w:t xml:space="preserve">Volkert Vintges (GNMF) vraagt of er een mouw te passen is aan het zgn dood geld. PPM Oost vraagt een rentepercentage omdat er bij een lager percentage op basis van Europese wetgeving sprake is van Staatssteun. Bij het burgerwindpark Nijmegen is voor een deel geld van PPM Oost als investering (met een hoger rentepercentage) ingezet. Zo is de bank ook meegegaan. Echter bij dunnere businesscases zoals bij zon is dat niet mogelijk. Hij vraagt zich verder af in hoeverre het nieuwe fonds ook met een negatief totaal rendement tevreden is. </w:t>
      </w:r>
    </w:p>
    <w:p>
      <w:pPr>
        <w:pStyle w:val="Normal"/>
        <w:rPr/>
      </w:pPr>
      <w:r>
        <w:rPr/>
        <w:t>Gijs Linthorst vraagt zich af welk rentepercentage  dan wel werkt. Om Staatssteun te voorkomen wordt een hoger percentage gevraagd, de markt vraagt een lager percentage. Ook in Noord-Brabant en Friesland zijn fondsen. De vraag is wat daar de ervaringen zijn.</w:t>
      </w:r>
    </w:p>
    <w:p>
      <w:pPr>
        <w:pStyle w:val="Normal"/>
        <w:rPr/>
      </w:pPr>
      <w:r>
        <w:rPr/>
        <w:t xml:space="preserve">Harry Webers (voorzitter kiEMT) geeft aan dat revolverend geld tegen een hoge rente  ‘dood’ geld is. Het geld dient ingezet te worden in businesscases die een klein zetje nodig hebben. Daarmee moet je nu starten. Hij geeft mee een serieuze paragraaf in te voegen op welke manier er voor gezorgd kan worden dat bedrijven hun geld gaan inzetten op businesscases. </w:t>
      </w:r>
    </w:p>
    <w:p>
      <w:pPr>
        <w:pStyle w:val="Normal"/>
        <w:rPr/>
      </w:pPr>
      <w:r>
        <w:rPr/>
        <w:t xml:space="preserve">De vraag is hoe je pensioenfondsen aantrekt. We moeten ook niet pound-foolish zijn.  Mogelijk moet er 50 miljoen worden ingezet voor een groot provinciaal fonds. Van belang is om op het goede bedrag in te zetten.  </w:t>
      </w:r>
    </w:p>
    <w:p>
      <w:pPr>
        <w:pStyle w:val="Normal"/>
        <w:rPr/>
      </w:pPr>
      <w:r>
        <w:rPr/>
        <w:t xml:space="preserve">Daarnaast is de vraag onder welke voorwaarden het bedrijfsleven in beweging komt. Hoe kan een kleine impuls zorgen voor een beweging. </w:t>
      </w:r>
    </w:p>
    <w:p>
      <w:pPr>
        <w:pStyle w:val="Normal"/>
        <w:rPr/>
      </w:pPr>
      <w:r>
        <w:rPr/>
        <w:t>Thijs de la Court geeft aan dat hij drie zaken heeft gehoord:</w:t>
        <w:br/>
        <w:t xml:space="preserve">1. Het uitwerken van een goede  verdeling tussen  garantstelling en revolverend inzetten van geld. </w:t>
        <w:br/>
        <w:t xml:space="preserve">2. Nagaan onder welke voorwaarden het bedrijfsleven welke investeringsruimte ziet. </w:t>
        <w:br/>
        <w:t xml:space="preserve">3. Aan geven hoe met 35 miljoen institutionele beleggers aan de slag gaan. Hij stelt dat het om provinciaal geld gaat. Provinciale Staten besluiten formeel. In juni komt er helderheid. </w:t>
      </w:r>
    </w:p>
    <w:p>
      <w:pPr>
        <w:pStyle w:val="Normal"/>
        <w:rPr/>
      </w:pPr>
      <w:r>
        <w:rPr/>
        <w:t>In totaal kan het ook om 135 miljoen gaan als provincie Noord-Brabant en Overijssel ook deelnemen.  Het is ook het begin van een beweging. Grotere pensioenfondsen vragen veelal hogere percentages. Dan kan bundeling van projecten tot honderd miljoen van belang zijn. Thijs de la Court stelt voor om wel vast te houden aan het bedrag van 35 miljoen in de begroting  om ook een reserve van 10 miljoen over te houden voor de komende jaren.  Dat geeft flexibiliteit.</w:t>
      </w:r>
    </w:p>
    <w:p>
      <w:pPr>
        <w:pStyle w:val="Normal"/>
        <w:rPr/>
      </w:pPr>
      <w:r>
        <w:rPr/>
        <w:t xml:space="preserve"> </w:t>
      </w:r>
      <w:r>
        <w:rPr/>
        <w:t xml:space="preserve">Marion Visser (gemeente Arnhem) geeft aan dat voor het initiatief van ZonCorp  (om 50.000 zonnepanelen op Arnhemse huurdaken te leggen) een rentepercentage van 7% te hoog is. Dit moet 4% zijn. </w:t>
      </w:r>
    </w:p>
    <w:p>
      <w:pPr>
        <w:pStyle w:val="Normal"/>
        <w:rPr/>
      </w:pPr>
      <w:r>
        <w:rPr/>
        <w:t xml:space="preserve">Pieter Verberne (voorzitter tafel Biomassa) geeft aan dat zijn tafel 23 projecten aan biedt. Deze initiatieven willen grootschalig investeren. Wat is het vervolgproces en wat dient hij als voorzitter te zeggen tegen zijn achterban. Wat kan de tafel  bijdragen?  Wanneer is er duidelijkheid over het fonds met de inzet van 35 miljoen aan provinciaal geld? Moet men wachten tot mei? Hoe ziet het vervolgproces er uit? </w:t>
      </w:r>
    </w:p>
    <w:p>
      <w:pPr>
        <w:pStyle w:val="Normal"/>
        <w:rPr/>
      </w:pPr>
      <w:r>
        <w:rPr/>
        <w:t xml:space="preserve">Thijs de la Court geeft aan dat de planning is dat Provinciale Staten in juni formeel besluiten over een fonds.  Dan is er helderheid. Iedereen heeft dit ook liever morgen. Het is niet anders.  Pieter Verberne geeft aan dat dit antwoord helder is. Juni is akkoord. </w:t>
        <w:br/>
        <w:br/>
        <w:t xml:space="preserve">Gerrit Jan Koopman (directeur VNP) geeft aan dat bij hun landelijke projecten (van middelgrote bedrijven) de minimale inzet voor een pensioenfonds orde grootte  200 miljoen is. Het gaat bij dit soort grote projecten om andere niveau`s.   De uitdaging is om een fonds goed te laten aansluiten bij investeringsniveaus. </w:t>
      </w:r>
    </w:p>
    <w:p>
      <w:pPr>
        <w:pStyle w:val="Normal"/>
        <w:rPr/>
      </w:pPr>
      <w:r>
        <w:rPr/>
        <w:t xml:space="preserve">Pallas Agterberg (directeur Strategie Alliander) geeft aan dat het geruststellend is dat geld voor biomassa voor proces en niet voor projecten is gebudgetteerd. Er komt geld beschikbaar van pensioenen. Een focus op 35 miljoen kan een valkuil zijn.  Het een relatief klein bedrag. Van belang is dat het om échte zinvolle projecten gaat.  De inzet dient te zijn op het  organiseren van alles dat nodig is voor de realisatie van goede projecten. Samenwerking, samen oplossen, alle miljarden hier in Gelderland mobiliseren en besteden. Volkert Vintges onderstreept dit en geeft aan te komen met goede samenwerkingsprojecten. </w:t>
      </w:r>
    </w:p>
    <w:p>
      <w:pPr>
        <w:pStyle w:val="Normal"/>
        <w:rPr/>
      </w:pPr>
      <w:r>
        <w:rPr/>
        <w:t xml:space="preserve">Thijs de la Court geeft aan dat bundeling van projecten van belang is. Dat vraagt ontwikkelingswerk en is een stevige uitdaging.  De tijd van 1000 bloemen laten bloeien is voorbij. Een harde selectie van projecten die te bundelen zijn, speelt daarbij. Waarbij de businesscase goed dient te zijn.  </w:t>
      </w:r>
    </w:p>
    <w:p>
      <w:pPr>
        <w:pStyle w:val="Normal"/>
        <w:rPr/>
      </w:pPr>
      <w:r>
        <w:rPr/>
        <w:t xml:space="preserve">Voorzitter Gijs Linthorst geeft aan dat er half mei een notitie over dit onderwerp (discussie) naar de Borgingscommissie komt en een reactie zal worden gevraagd. Thijs de la Court geeft aan dat dit een specialistisch, technisch inhoudelijk stuk zal zijn. PPM Oost en de provincie worden ook betrokken. Afstemming met de voorzitters van de tafels zal plaatsvinden.  </w:t>
      </w:r>
    </w:p>
    <w:p>
      <w:pPr>
        <w:pStyle w:val="Normal"/>
        <w:rPr/>
      </w:pPr>
      <w:r>
        <w:rPr>
          <w:b/>
        </w:rPr>
        <w:t>3b. Keuzes voor het totale akkoord</w:t>
        <w:br/>
      </w:r>
      <w:r>
        <w:rPr/>
        <w:t>Gerrit Jan Koopman stelt dat jaarlijkse monitoring misschien moeilijk is omdat de verandering per jaar voor sommige sectoren moeilijk is. Mogelijk laat een andere indeling bij de monitoring meer zien. Wellicht is opsplitsing in de tafels een mogelijkheid.  Het zou kunnen dat in een bepaald geval een organisatie op het ene onderdeel een positieve energiebesparing haalt en bij een andere onderwerp niet. In totaal is er dan geen  voortgang, maar heeft  de organisatie het wel goed gedaan.   Pieter Verberne geeft aan na te gaan of de monitoring op onderdelen scherper kan. Een rondje langs de tafels kan worden gemaakt.</w:t>
      </w:r>
    </w:p>
    <w:p>
      <w:pPr>
        <w:pStyle w:val="Normal"/>
        <w:rPr/>
      </w:pPr>
      <w:r>
        <w:rPr/>
        <w:t xml:space="preserve">Marion Visser geeft aan dat het EnergieTransitieModel (afgekort ETM) inzicht geeft in de effecten. Het is in feite een energetische wasstraat. Het ETM geeft aan wat de klimaat- en energiewinst van een project is. </w:t>
      </w:r>
    </w:p>
    <w:p>
      <w:pPr>
        <w:pStyle w:val="Normal"/>
        <w:rPr/>
      </w:pPr>
      <w:r>
        <w:rPr/>
        <w:t xml:space="preserve">Harry Webers heeft een aantal sessies gehad met het ETM. Het model is geschikt om energiescenario`s  op macroniveau door te rekenen, minder voor specifieke projecten.  Pieter Verberne geeft aan dat je via het ETM gevoel voor  de realiteit kunt krijgen. Voor een modelberekening op mikro-  en wijkniveau (specifieke projecten) komt er nog een aanpassing.  </w:t>
      </w:r>
    </w:p>
    <w:p>
      <w:pPr>
        <w:pStyle w:val="Normal"/>
        <w:rPr/>
      </w:pPr>
      <w:r>
        <w:rPr/>
        <w:t xml:space="preserve">Pieter van der Ploeg geeft aan dat er meerdere modellen zijn. Met het model kun je de Gelderse situatie specifiek maken. Het is een energetische wasstraat. </w:t>
        <w:br/>
        <w:br/>
        <w:t xml:space="preserve">Thijs de la Court geeft aan dat het conceptplan onder meer is gericht op een professionaliseringsimpuls van het  maatschappelijk middenveld. De impuls betreft een termijn van vier jaar. Dan moet het er staan. Het plan zal dit traject faciliteren. Het betreft naast de energiecoöperaties ook de samenwerking tussen huurdersverenigingen en de samenwerking tussen installateurs. Wim Nabbe (DEC Liemers) vraagt om dit breder te formuleren in het plan (meer tekst geven; verbreden naar andere groepen).  </w:t>
      </w:r>
    </w:p>
    <w:p>
      <w:pPr>
        <w:pStyle w:val="Normal"/>
        <w:rPr/>
      </w:pPr>
      <w:r>
        <w:rPr/>
        <w:t xml:space="preserve">Marion Visser vindt dat energiebesparing als werkveld bij energiecooperaties minder aandacht krijgt dan opwek van duurzame energie. Thijs de la Court geeft aan dat dit op zich klopt. Bij wijkaanpak/ de meerjarige publiekscampagne gericht op de ‘Wijk van de Toekomst’ staat energiebesparing centraal. De energiecoöperaties spelen daar een belangrijke rol bij. Jan de Wit (Rijn en IJssel Energie Coöperatie ) geeft aan dat energiebesparing nu ook een duidelijk aandachtspunt bij energiecoöperaties is geworden. Binnen de Gelderse Community of Practice is nu ook een werkplaats Energiebesparing. Stefan van Tongeren (11duurzaam en lid van de Borgingscommissie) is daar coördinator van. </w:t>
      </w:r>
    </w:p>
    <w:p>
      <w:pPr>
        <w:pStyle w:val="Normal"/>
        <w:rPr/>
      </w:pPr>
      <w:r>
        <w:rPr/>
        <w:t xml:space="preserve">Christian Lorist vraagt om cofinanciering in de begroting verder  inzichtelijk te  maken (ondermeer inzet eigen uren en financieel). </w:t>
      </w:r>
    </w:p>
    <w:p>
      <w:pPr>
        <w:pStyle w:val="Normal"/>
        <w:rPr/>
      </w:pPr>
      <w:r>
        <w:rPr/>
        <w:t xml:space="preserve">Marion Visser stelt dat er ook een zgn EFRO-aanvraag voor energiecoöperaties loopt. Het gaat om uitwerkingen van businesscases door zeven Gelderse energiecooperaties.  Thijs de la Court licht toe dat in geval deze EFRO-aanvraag niet doorgaat, de energiecoöperaties minder slagkracht hebben.  </w:t>
      </w:r>
    </w:p>
    <w:p>
      <w:pPr>
        <w:pStyle w:val="Normal"/>
        <w:rPr/>
      </w:pPr>
      <w:r>
        <w:rPr/>
        <w:t xml:space="preserve">Yvonne Tieleman (provincie) geeft aan dat er nog meer mogelijkheden zijn om EFRO-subsidies in te dienen. Er is nog provinciale subsidie voor  EFRO-aanvragen beschikbaar. Dit soort aanvragen behoort ook bij de Gelderse Energietransitie en leveren ook een bijdrage aan de doelen.  </w:t>
      </w:r>
    </w:p>
    <w:p>
      <w:pPr>
        <w:pStyle w:val="Normal"/>
        <w:rPr/>
      </w:pPr>
      <w:r>
        <w:rPr/>
        <w:t xml:space="preserve">Harry Weber geeft aan ook te kijken naar een MKBA benadering (Maatschappelijke Kosten Baten Analyse). Dit wil zeggen breder kijken dan energie- en financiele rendementen bij het MKB. Ook bijvoorbeeld naar de arbeidsplaatsen die buinesscases opleveren. </w:t>
      </w:r>
    </w:p>
    <w:p>
      <w:pPr>
        <w:pStyle w:val="Normal"/>
        <w:rPr/>
      </w:pPr>
      <w:r>
        <w:rPr/>
        <w:t xml:space="preserve">Marion Visser vraagt of energiecooperaties ook samenwerken met het MKB. Stefan van Tongeren geeft aan dat dat dit in de regio Rivierenland wel gebeurt, zij het voorzichtig. Er liggen linken oa bij het MKB energieabonnement. Het is nog een jonge ontwikkeling. </w:t>
      </w:r>
    </w:p>
    <w:p>
      <w:pPr>
        <w:pStyle w:val="Normal"/>
        <w:rPr/>
      </w:pPr>
      <w:r>
        <w:rPr/>
        <w:t xml:space="preserve">Lara de Brito is positief over het plan, met uitzondering van één onderwerp namelijk de ambities van de Gelderse woningbouwcorporaties. De Gelderse corporaties hebben het Gelders Energieakkoord niet willen ondertekenen. In het landelijk SER Energieakkoord is de doelstelling gemiddeld energielabel B in 2020 voor de huurvoorraad. Zij vindt ook doelstelling gemiddeld energielabel B jammer en teleurstellend. Hopelijk komt er meer beweging bij de Gelderse woningcorporaties. Krista Walter (directeur bestuurder van De Goede Woning uit Apeldoorn) is voorzitter van de tafel huur.  Thijs de la Court licht toe dat het een lastige sector is om in beweging te krijgen. Er zijn wel twee acties in het plan uitgezet. De Gelderse huurdersverenigingen worden door de Woonbond ondersteund in het kader van de nieuwe Woningwet van 2015. Doelstelling van de nieuwe wet is dat huurdersverenigingen een volwaardige rol krijgen in het driepartijenoverleg over prestatieafspraken (tussen corporaties, huurdersverenigingen en gemeente). Daarnaast worden energieprestaties en het beleid van corporaties jaarlijks gemonitord. De nieuwe Woningwet vraagt ook om een publieke transparantie. </w:t>
      </w:r>
    </w:p>
    <w:p>
      <w:pPr>
        <w:pStyle w:val="Normal"/>
        <w:rPr/>
      </w:pPr>
      <w:r>
        <w:rPr/>
        <w:t xml:space="preserve">Ook Volkert Vintges heeft zorgen dat corporaties de doelstelling van gemiddeld energielabel B niet halen. Gemeenten dienen hier dichter op te zitten. Hij roept gemeenten op scherper te letten op de acties van corporaties. Er zijn ook organisaties die oproepen om in prestatieafspraken tot een verplichtende doelstelling te komen.  </w:t>
      </w:r>
    </w:p>
    <w:p>
      <w:pPr>
        <w:pStyle w:val="Normal"/>
        <w:rPr/>
      </w:pPr>
      <w:r>
        <w:rPr/>
        <w:t>Henriette Tiemens (Nijmegen) geeft aan dat met de huidige inspanningen en tempo (een paar labelstappen) over 15 jaar de gebouwde omgeving niet van het gas af is. Beter is terug te redenen (backcasting) en te bepalen welke inspanningen er de komende tijd nodig zijn om van het gas af te komen over 15 jaar. Een dergelijke aanpak is ook in lijn met het Klimaatakkoord van Parijs.</w:t>
      </w:r>
    </w:p>
    <w:p>
      <w:pPr>
        <w:pStyle w:val="Normal"/>
        <w:rPr/>
      </w:pPr>
      <w:r>
        <w:rPr/>
        <w:t xml:space="preserve">Pallas Agterberg geeft aan dat het belangrijk is om het te lage tempo en de te geringe inspanningen als nieuwe informatie in te brengen in  het Gelders akkoord. Dit te lage tempo staat ook opgemerkt in de Nationale EnergieVerkenningen 2015 (oktober 2015) en in de Evaluatie SER Energieakkoord 2015 (december 2015).  </w:t>
      </w:r>
    </w:p>
    <w:p>
      <w:pPr>
        <w:pStyle w:val="Normal"/>
        <w:rPr/>
      </w:pPr>
      <w:r>
        <w:rPr/>
        <w:t>Leon Meijer (Ede) geeft aan dat de nieuwe Woningwet het mogelijk maakt voor de gemeente om dieper in de voortgang en financiele ruimte van woningcorporaties te kijken. Investeringsruimte van woningcorporaties dient transparant te zijn. Leon Meijer merkt op dat het goed is om het duurzaamheidsgeld dat door gemeenten beschikbaar wordt gesteld, zichtbaar te maken.  Wim Nabbe stelt dat als dit onverhoopt een laag bedrag is, dat geen goed signaal is vanuit de gemeenten. Belangrijk is om aan verwachtingenmanagement te doen.</w:t>
      </w:r>
    </w:p>
    <w:p>
      <w:pPr>
        <w:pStyle w:val="Normal"/>
        <w:rPr/>
      </w:pPr>
      <w:r>
        <w:rPr/>
        <w:t xml:space="preserve">Thijs de la Court geeft aan dat het niet gemakkelijk is om de cofinanciering van maatschappelijke inleg aan te geven.  Van belang is om pensioengelden goed in te zetten en na te gaan op welke manier ander geld bij elkaar kan worden gebracht. Politiek maatschappelijk is dat relevant. Slechts een klein deel zal maatschappelijk geld zijn. Stefan van Tongeren geeft aan dat het Elena Fonds mogelijk te gebruiken is. </w:t>
      </w:r>
    </w:p>
    <w:p>
      <w:pPr>
        <w:pStyle w:val="Normal"/>
        <w:rPr/>
      </w:pPr>
      <w:r>
        <w:rPr/>
        <w:t xml:space="preserve">Christian Lorist vraagt hoe het mogelijk is dat het de woningcorporaties niet lukt. In de grote kasstroom van corporaties (huurinkomsten) ligt de oplossing. Corporaties hebben een hoge organisatiegraad. </w:t>
      </w:r>
    </w:p>
    <w:p>
      <w:pPr>
        <w:pStyle w:val="Normal"/>
        <w:rPr/>
      </w:pPr>
      <w:r>
        <w:rPr/>
        <w:t xml:space="preserve">De afspraak wordt gemaakt dat er een tripartite tussen woningcorporaties, huurdersverenigingen en gemeenten plaatsvindt met als onderwerp de gastransitie en het aansluiten bij de versnelling, en de manier waarop wordt versneld. Een plan wordt met de betreffende partijen gemaakt. </w:t>
      </w:r>
    </w:p>
    <w:p>
      <w:pPr>
        <w:pStyle w:val="Normal"/>
        <w:rPr/>
      </w:pPr>
      <w:r>
        <w:rPr/>
        <w:t xml:space="preserve">Voorzitter Gijs Linthorst vraagt of de Borgingscommissie de keuzes voor het totale Gelders Energieakkoord juist acht. De leden van de commissie staan achter de gemaakte keuzen.   </w:t>
      </w:r>
    </w:p>
    <w:p>
      <w:pPr>
        <w:pStyle w:val="Normal"/>
        <w:rPr/>
      </w:pPr>
      <w:r>
        <w:rPr>
          <w:b/>
        </w:rPr>
        <w:t>3c. Keuzes ten aanzien van energiebesparingsactiviteiten</w:t>
        <w:br/>
      </w:r>
      <w:r>
        <w:rPr/>
        <w:t>Thijs de la Court licht toe dat er is gekozen voor een brede en meerjarige publiekscampagne gericht op de ‘Wijk van de toekomst’.  Bij de campagne wordt goed aangesloten bij de bewoners, de huurders en energiecooperaties. De campagne moet nog worden ontworpen. Het wordt een campagne mét bewoners, niet met de usual suspects wat betreft organisaties. Daarbij wordt aangesloten bij de uitdaging van de gastransitie. Marion Visser geeft aan dat de oproep breder dient te zijn. Dus ook van onderop starten. De gastransitie  is een gevolg, een tweede.</w:t>
      </w:r>
    </w:p>
    <w:p>
      <w:pPr>
        <w:pStyle w:val="Normal"/>
        <w:rPr/>
      </w:pPr>
      <w:r>
        <w:rPr/>
        <w:t xml:space="preserve">Wim Nabbe geeft aan dat het vooral regionaal dient te zijn en meerjarig. Zie tweede bullet: meerjarige, regionale ondersteuning ipv regionale ondersteuning. Ook regionale overheden dienen te worden ontzorgd bij wat ze wel en niet kunnen. Wim Nabbe wordt van dit onderdeel campagne ‘Wijk van de Toekomst’ en wijkaanpak het meest vrolijk. Dit moet een aantal jaren de kans krijgen. Ontzorgen van de lokale overheden.  </w:t>
      </w:r>
    </w:p>
    <w:p>
      <w:pPr>
        <w:pStyle w:val="Normal"/>
        <w:rPr/>
      </w:pPr>
      <w:r>
        <w:rPr/>
        <w:t xml:space="preserve">Pallas Agterberg is het er mee eens dat je zult moeten helpen. Zij stelt dat als we iedereen gaan  ontzorgen, er iemand het  heel erg druk krijgt. Vraag is hoe je de zaak écht in beweging krijgt.  Besparing gaat wel lopen in 2016 en 2017. Maar er moet ook dwang/ urgentie  op worden gezet. Bijvoorbeeld dat iemands huis in Groningen in de grond zakt. Het moet écht anders. Eerst dient er het gevoel te komen dat we een ander pad moeten inslaan.  De alternatieven moeten we lokaal gaan maken. Bijvoorbeeld in de binnenstad bijvoorbeeld een warmtenet en elders groen gas.  </w:t>
      </w:r>
    </w:p>
    <w:p>
      <w:pPr>
        <w:pStyle w:val="Normal"/>
        <w:rPr/>
      </w:pPr>
      <w:r>
        <w:rPr/>
        <w:t xml:space="preserve">Henriette Tiemens  wordt onrustig van het gebrek aan  urgentiegevoel. 15  jaar is een erg korte tijd. Het gaat wel erg langzaam. Pallas Agterberg ondersteunt dit betoog. </w:t>
      </w:r>
    </w:p>
    <w:p>
      <w:pPr>
        <w:pStyle w:val="Normal"/>
        <w:rPr/>
      </w:pPr>
      <w:r>
        <w:rPr/>
        <w:t xml:space="preserve">Volkert Vintges geeft aan dat energiecampagnes van het Rijk door Milieucentraal zijn uitgevoerd. Het beeld is dat de urgentie ontbreekt. De urgentie dient op een hoger niveau te komen. De vraag is hoe. Wat doe je als binnenkort het gas op is? Ga je dan nu nog een nieuwe CV ketel aanschaffen? </w:t>
      </w:r>
    </w:p>
    <w:p>
      <w:pPr>
        <w:pStyle w:val="Normal"/>
        <w:rPr/>
      </w:pPr>
      <w:r>
        <w:rPr/>
        <w:t>Simon Miske (IGEV, Regio Noord-Veluwe) geeft aan dat het belangrijk is aan te haken bij de huidige, regionale structuren en deze te benutten. Zowel voor energiebesparing als opwekking van duurzame energie.</w:t>
      </w:r>
    </w:p>
    <w:p>
      <w:pPr>
        <w:pStyle w:val="Normal"/>
        <w:rPr/>
      </w:pPr>
      <w:r>
        <w:rPr/>
        <w:t xml:space="preserve">Gijs Linthorst geeft aan dat er een goede propositie moet komen. </w:t>
      </w:r>
    </w:p>
    <w:p>
      <w:pPr>
        <w:pStyle w:val="Normal"/>
        <w:rPr/>
      </w:pPr>
      <w:r>
        <w:rPr/>
        <w:t xml:space="preserve">Harry Webers vraagt om iets meer  aandacht voor scholing en innovatie.  Dat zal niet lukken met een jaarlijks budget van 20.000 euro (cq 160.000 euro). Van belang is om hier een grote impuls aan te geven. Thijs de la Court geeft aan dat er ook een  scholingsbudget vanuit EZ (economie en werkgelegenheid) is. Er loopt ook een EFRO aanvraag. Berthold van Benthem (Uneto-VNI) geeft aan dat er al heel veel loopt en er diverse organisaties zijn in het Gelderse. Er is een afzonderlijke tafel Scholing Bouw en Installatie.  De Scholing moet parallel lopen aan de initiatieven die worden gestart. </w:t>
      </w:r>
    </w:p>
    <w:p>
      <w:pPr>
        <w:pStyle w:val="Normal"/>
        <w:rPr/>
      </w:pPr>
      <w:r>
        <w:rPr/>
        <w:t xml:space="preserve">Er wordt gewezen op het POA (Platform Onderwijs en Arbeidsmarkt). De POA`s en andere netwerken kunnen worden gebruikt. Morgen vindt de ondertekening van het TechniekPact plaats (http://www.poa-achterhoek.nl/). </w:t>
      </w:r>
    </w:p>
    <w:p>
      <w:pPr>
        <w:pStyle w:val="Normal"/>
        <w:rPr/>
      </w:pPr>
      <w:r>
        <w:rPr/>
        <w:t>Toine Straatman (Metaalunie) geeft aan dat er in de metaalsector steeds meer circulair wordt gewerkt.</w:t>
      </w:r>
    </w:p>
    <w:p>
      <w:pPr>
        <w:pStyle w:val="Normal"/>
        <w:rPr/>
      </w:pPr>
      <w:r>
        <w:rPr/>
        <w:t xml:space="preserve">Harry Webers vindt dat er ook fors op innovatie moet worden ingezet. </w:t>
      </w:r>
    </w:p>
    <w:p>
      <w:pPr>
        <w:pStyle w:val="Normal"/>
        <w:rPr/>
      </w:pPr>
      <w:r>
        <w:rPr/>
        <w:t xml:space="preserve">Thijs de la Court geeft aan dat er een zwakte zit op het onderdeel Innovatie en Scholing. </w:t>
      </w:r>
    </w:p>
    <w:p>
      <w:pPr>
        <w:pStyle w:val="Normal"/>
        <w:rPr/>
      </w:pPr>
      <w:r>
        <w:rPr/>
        <w:t xml:space="preserve">Johan Bakker (Waterschap Rivierenland) heeft als werkportefeuille duurzaamheid bij het Waterschap Rivierenland met een omzet/ realisatie van 100 miljoen per jaar. Hij vindt dat alles wat tot versnelling leidt, voorrang dient te hebben. Het werven en aanstellen van een oliemannetje kost ook tijd. Het plan is een blok beton, te ouderwets.  Alles is aan elkaar gekoppeld. Dit gaat zo niet lukken. De urgentie is hoog. We moeten nu beginnen.  Dus alles wat leidt tot versnelling, gaat voor. Van belang is om er proces, gevoel, vuur, flexibiliteit en creativiteit in te brengen. </w:t>
      </w:r>
    </w:p>
    <w:p>
      <w:pPr>
        <w:pStyle w:val="Normal"/>
        <w:rPr/>
      </w:pPr>
      <w:r>
        <w:rPr/>
        <w:t xml:space="preserve">Thijs de la Cour geeft aan dat deze  discussie nu wordt gevoerd en dat de thematafels nu uitvoeringstafels worden. Voor de zomer zijn de meeste thematafels uitvoeringstafels en maken we onze handen vuil aan concrete projecten. Daarnaast ook is samenwerking van belang  en een samenhangende visie als de kiel van het schip. De korte termijn aanpak dient niet te gaan overheersen. Het motto is wel samenwerking. </w:t>
      </w:r>
    </w:p>
    <w:p>
      <w:pPr>
        <w:pStyle w:val="Normal"/>
        <w:rPr/>
      </w:pPr>
      <w:r>
        <w:rPr/>
        <w:t>Pallas Agterberg stelt dat het een  solide plan is, met een risico dat het steeds langzamer gaat. Wat kun je toevoegen? Wat kunnen we bedenken aan vorm voor het versnellen. Kom snel met het realisatieplan/ uitvoeringsplan,  zet competities in ed.</w:t>
      </w:r>
    </w:p>
    <w:p>
      <w:pPr>
        <w:pStyle w:val="Normal"/>
        <w:rPr/>
      </w:pPr>
      <w:r>
        <w:rPr/>
        <w:t xml:space="preserve">Harry Webers  stelt voor om seedmoney in te zetten (een paar miljoen), vooruitlopend op de besluitvorming in provinciale staten. Thijs de la Court geeft aan dat het niet mag vastlopen op het wachten tot besluitvorming in juni in provinciale staten. Bij de analyse van de businesscases wordt dat nog wel een klus. Jan Bekhuis (provincie Gelderland) vindt dit idee op zich goed.  Je wilt wel de goede dingen en projecten doen. Er is in 2016 meer startgeld gereserveerd. Relatief wordt aan processen besteed, de uitvoering blijft belangrijk. De zgn PMC cyclus sluit niet meer aan. </w:t>
      </w:r>
    </w:p>
    <w:p>
      <w:pPr>
        <w:pStyle w:val="Normal"/>
        <w:rPr/>
      </w:pPr>
      <w:r>
        <w:rPr/>
        <w:t xml:space="preserve">Henriette Tiemens stelt voor een  team te formeren om te beoordelen of er een échte flow achter een project zit in plaats van veel procesgeld te moeten besteden aan het op gang krijgen van een proces. </w:t>
      </w:r>
    </w:p>
    <w:p>
      <w:pPr>
        <w:pStyle w:val="Normal"/>
        <w:rPr/>
      </w:pPr>
      <w:r>
        <w:rPr/>
        <w:t xml:space="preserve">Thijs de la Court geeft aan dat durf belangrijk is. Loop voor de troepen uit , ben niet te voorzichtig in je proceskant, maak een lijstje waar we morgen versnellen Zie als voorbeeld het project ‘Nul op de meter renovaties voor VvE`s’. Dit project wordt nu naar de markt gebracht en versneld. Hij geeft aan dat door samenwerking   even stil te staan, zinvol is. Er zijn ook businesscases waar je bij moet stilstaan. Bijvoorbeeld het project Zoncorp, zonnepanelen op huurdaken met behulp van de postcoderoos (bij dit project wordt een lening/ garantiestelling van 2 miljoen gevraagd). Belangrijk is  om dat gezamenlijk met energiecooperaties te doen. Quick wins kunnen ook riskant zijn als ze niet goed doordacht zijn. </w:t>
      </w:r>
    </w:p>
    <w:p>
      <w:pPr>
        <w:pStyle w:val="Normal"/>
        <w:rPr/>
      </w:pPr>
      <w:r>
        <w:rPr/>
        <w:t xml:space="preserve">Tienke van der Werf vraagt ook om aan lokaal draagvlak bij de gemeenteraad te werken. Aandacht voor lokaal draagvlak bij politiek en burgers/ inwoners. ‘Onderhoud’ bij gemeenteraden is nodig.  </w:t>
      </w:r>
    </w:p>
    <w:p>
      <w:pPr>
        <w:pStyle w:val="Normal"/>
        <w:rPr/>
      </w:pPr>
      <w:r>
        <w:rPr/>
        <w:t xml:space="preserve">Jan Willem Strebus (Regionale Uitvoeringsdiensten) geeft aan dat  versnelling en tempo in ontwikkeling is. Goede initiatieven zichtbaar maken is belangrijk. Daardoor komt  er meer spinoff bij het Gelders Energieakkoord. Successen dienen actief te worden uitgedragen ten behoeve van het Gelders Energieakkoord. </w:t>
      </w:r>
    </w:p>
    <w:p>
      <w:pPr>
        <w:pStyle w:val="Normal"/>
        <w:rPr/>
      </w:pPr>
      <w:r>
        <w:rPr/>
        <w:t>Chris Lorist geeft aan dat de procesindustie meer ambitie kan tonen. De procesindustrie heeft nu  een gering budget voor een uitwisselingsproject.  VNO NCW wil wel mee helpen aanjagen.  Dat aanbod wordt door het secretariaat graag aangenomen.</w:t>
      </w:r>
    </w:p>
    <w:p>
      <w:pPr>
        <w:pStyle w:val="Normal"/>
        <w:rPr/>
      </w:pPr>
      <w:r>
        <w:rPr/>
        <w:t>Volkert Vintges geeft aan dat papierfabriek Parenco te Renkum aan geeft een forse energiebesparing de laatste jaren te hebben gerealiseerd.  Ze onderzoeken nu de mogelijkheid van ultradiepe geothermie. De Tafel Procesindustrie heeft zich mogelijk slecht gepresenteerd. Hij vraagt zich af in hoeverre de procesindustrie kan versnellen.</w:t>
      </w:r>
    </w:p>
    <w:p>
      <w:pPr>
        <w:pStyle w:val="Normal"/>
        <w:rPr/>
      </w:pPr>
      <w:r>
        <w:rPr/>
        <w:t xml:space="preserve">Gerrit Jan Koopman geeft aan dat Henk Lingbeek van papierfabriek DS Smith Paper De Hoop Mill (te Eerbeek)   de tafel procesindustrie voorzit. Het finaal energieverbruik wordt omlaag gebracht door aanbrengen van LED-verlichting en nieuwe pompen. Er zijn monitoringsproblemen. Voor 80% gaat het om warmte.  Gerrit Jan geeft aan dat de procesindustrie in een soort spagaat zit. Het gaat bij het SER Energieakkoord en het Gelders Energieakkoord om dezelfde afspraken. Bij de landelijke Tussenevaluatie 2015 van het landelijk SER Energieakkoord is wel om versnelling gevraagd. De sector heeft een eigen transitieprogramma. Het zichtbaar maken van de voortgang is een uitdaging.  Het gaat ook om meerdere tafels, oa warmte, biomassa en procesindustrie. </w:t>
      </w:r>
    </w:p>
    <w:p>
      <w:pPr>
        <w:pStyle w:val="Normal"/>
        <w:rPr/>
      </w:pPr>
      <w:r>
        <w:rPr/>
        <w:t>Pieter Verberne geeft aan dat op pagina 6 van de samenvatting van het concept Uitvoeringsplan staat het versnellen van energiebesparing/ efficiency in de  procesindustrie, met weinig dwingende regelgeving, een uitdaging is. De sector is lastig op te jagen. De doelstelling is jaarlijks 1.5% energiebesparing in de komende vier jaar, conform de Europese Energie-efficiency Directive (EED)</w:t>
      </w:r>
      <w:r>
        <w:rPr>
          <w:rStyle w:val="FootnoteAnchor"/>
        </w:rPr>
        <w:footnoteReference w:id="2"/>
      </w:r>
      <w:r>
        <w:rPr/>
        <w:t xml:space="preserve"> . Elk jaar zal er gemonitord worden. De voortgang wordt dan bijgehouden en bijstellingen kunnen plaatsvinden.  </w:t>
      </w:r>
    </w:p>
    <w:p>
      <w:pPr>
        <w:pStyle w:val="Normal"/>
        <w:rPr/>
      </w:pPr>
      <w:r>
        <w:rPr/>
        <w:t xml:space="preserve">Jan Bekhuis geeft aan dat provinciale staten het erg belangrijk vinden wat de Borgingscommissie van de zaken vindt. Het gaat er niet om  wat provinciale staten er van vinden. </w:t>
      </w:r>
    </w:p>
    <w:p>
      <w:pPr>
        <w:pStyle w:val="Normal"/>
        <w:rPr/>
      </w:pPr>
      <w:r>
        <w:rPr>
          <w:b/>
        </w:rPr>
        <w:t>3d. Keuzes ten aanzien van duurzame energieopwekking</w:t>
        <w:br/>
      </w:r>
      <w:r>
        <w:rPr/>
        <w:t xml:space="preserve">Voorzitter Gijs Linthorst vraagt aan Pieter Verberne wat zijn visie is. Mede gezien de brief die door de voorzitter van de tafel biomassa op 2 maart (gisteren) is verstuurd. Pieter Verberne geeft aan dat hij tevreden is.  In juni komt er duidelijkheid bij de besluitvorming in provinciale staten bij de behandeling van de inzet van provinciale middelen. Daarmee komt er in juni duidelijkheid voor het ondersteunen van biomassa-projecten. Het EnergieTransitieModel (van Quintel) is  meer geschikt  voor scenario-analyse. De biomassa-tafel gaat verder met Quintel om de optimale inzet van biomassa te verkennen. Quintel komt op korte termijn met een lijst vragen aan alle indieners van biomassaprojecten om het model te kunnen aanpassen.  Warmte is uit biomassa te verkrijgen, niet uit zon en wind. </w:t>
        <w:br/>
        <w:t>Stefan van Tongeren geeft aan er  vanuit Rivierenland nog een aantal biomassaprojecten komen. Er staan nu 23 biomassaprojecten genoemd. In Rivierenland vindt er nu een biomassa-potentie studie plaats en van daaruit worden businesscases opgesteld. Er komen er dus nog meer.</w:t>
        <w:br/>
        <w:t xml:space="preserve">Simon Miske geeft aan dat de procesgelden voor de tafel Biomassa op pagina 59 (tabel 4) beter  inhoudelijk gescreend moeten worden. In tabel 4 staan verschillende grootheden genoemd. </w:t>
        <w:br/>
        <w:t>Chris Lorist is van mening dat alle projecten gelijkwaardig moeten worden opgenomen en behandeld (nu staat Zon op `t Erf specifiek genoemd).</w:t>
        <w:br/>
        <w:t xml:space="preserve">Thijs de la Court geeft aan dat alle biomassaprojecten door Quintel worden gescreend en er eind april een totaallijst komt . Hij geeft aan dat een gelijkwaardige behandeling een gevaarlijke benadering is. Hij wil het graag omdraaien. Het naar de markt brengen is belangrijk en komen tot stevige businessplannen en oplossingen voor de onrendabele top (niet eerst een gelijkwaardige behandeling). </w:t>
        <w:br/>
        <w:br/>
      </w:r>
      <w:r>
        <w:rPr>
          <w:b/>
        </w:rPr>
        <w:t>3e. Keuzes ten aanzien van mobiliteit</w:t>
        <w:br/>
      </w:r>
      <w:r>
        <w:rPr/>
        <w:t xml:space="preserve">Bij LNG/ BNG zijn er aarzelingen. Er is gekozen om de LNG/ BNG optie nader te onderzoeken op rendement van broeikasgassen, ook in samenhang van biomassa. </w:t>
        <w:br/>
        <w:t xml:space="preserve">Henriette Tiemens geeft aan dat het gebruik van LNG in de scheepvaart voor de gemeente Nijmegen erg belangrijk is gezien de negatieve invloed van het gebruik van diesel in de scheepvaart op de luchtkwaliteit in Nijmegen. Dat geldt ook voor zwaar transport over de weg. Zij vraagt zich af voor welk deel van het vervoer ‘ electrisch’  de toekomst wordt.  We praten er veel over. Hoe zien we in dit kader smart grids? Het blijft ingewikkeld. Slimme oplossingen worden gevraagd. Zaken zijn  nog niet uitgekristalliseerd. Er is nog geen overall visie. Moeten we nu als gemeente Nijmegen 60 electrische laadpalen bij plaatsen of niet?  </w:t>
      </w:r>
    </w:p>
    <w:p>
      <w:pPr>
        <w:pStyle w:val="Normal"/>
        <w:rPr/>
      </w:pPr>
      <w:r>
        <w:rPr/>
        <w:t>Moeten we hier nog meer discussie over voeren. Van belang is concepten te delen.</w:t>
        <w:br/>
        <w:t>Volkert Vintges geeft aan dat LNG nog van belang is voor het zware transport over de weg. Industrie en milieubeweging (oa Natuur en Milieu, en de Natuur en Milieufederaties) hebben met elkaar een LNG dialoog gevoerd. Hij stelt een praktische benadering voor. Er is weinig alternatief voor de binnenvaart en lange afstand vervoer.  Stel vast waar we op dit moment  nauwelijks zonder LNG kunnen (vrachtverkeer en scheepvaart). Daar zijn nu nog weinig alternatieven. Voor personenvervoer en binnenstedelijk transport  is electrisch nu een perspectief.</w:t>
        <w:br/>
        <w:t xml:space="preserve">Stefan Vermeulen verwijst naar de  A15 discussie. In Tiel wordt gewerkt aan een LNG pompstation. </w:t>
        <w:br/>
        <w:t>Thijs de la Court geeft aan dat er een budget is opgenomen om de discussie te verhelderen, en na te gaan of LNG een positief danwel negatief effect heeft.</w:t>
        <w:br/>
        <w:t xml:space="preserve">Pallas Agterberg geeft aan dat daar waar de vraag en wil is, aangesloten kan worden op de ontwikkelingen. Het is onmogelijk om bij de energietransitie één techniek te hanteren. Je moet ook niet investeren in wat je niet kent. </w:t>
      </w:r>
    </w:p>
    <w:p>
      <w:pPr>
        <w:pStyle w:val="Normal"/>
        <w:rPr/>
      </w:pPr>
      <w:r>
        <w:rPr>
          <w:b/>
        </w:rPr>
        <w:t>4. Vervolgproces</w:t>
      </w:r>
      <w:r>
        <w:rPr/>
        <w:br/>
        <w:t xml:space="preserve">Thijs de la Court geeft aan dat meegenomen wordt wat we nu hebben opgehaald. Een aantal werkvoorstellen/ plannen zijn benoemd. Het Uitvoeringgsplan wordt daarmee  afgerond en definitief gemaakt. Op 17 maart bij het congres kan dan worden gesproken van een geakkoordeerd plan. In maart cq april vindt  een bijeenkomst met de voorzitters van de tafels plaats. Daarna wordt versneld naar de uitvoering. In april vindt nog een overleg met provinciale staten plaats. In juni vindt de behandeling in het kader van de Voorjaarsnota in provinciale Staten plaats. </w:t>
        <w:br/>
        <w:t xml:space="preserve">Harry Webers geeft aan dat sommige zaken nog kunnen doorwerken in de begroting.  </w:t>
        <w:br/>
        <w:t xml:space="preserve">Tienke van der Werf geeft aan dat co-financiering ook in uren (in kind) bij de tafel voorbeeldige overheden kan worden aangegeven.  </w:t>
        <w:br/>
        <w:t xml:space="preserve">Het aangepaste plan wordt rondgestuurd met de vraag om nog een laatste reactie.  </w:t>
      </w:r>
    </w:p>
    <w:p>
      <w:pPr>
        <w:pStyle w:val="Normal"/>
        <w:rPr/>
      </w:pPr>
      <w:r>
        <w:rPr>
          <w:b/>
        </w:rPr>
        <w:t>5. Rondvraag</w:t>
      </w:r>
      <w:r>
        <w:rPr/>
        <w:t xml:space="preserve"> </w:t>
        <w:br/>
        <w:t>Tienke van der Werf  vraagt om de algemene uitnodiging voor het congres op 17 maart nog een keer aan raadsleden rond te sturen.</w:t>
        <w:br/>
        <w:t xml:space="preserve">Pieter van der Ploeg vraagt of er nog opmerkingen zijn over de monitoring. Er zijn geen opmerkingen of vragen. De monitoring zal definitief worden gemaakt. Jaarlijks zal een monitoring volgen. </w:t>
        <w:br/>
        <w:t xml:space="preserve">Marion Visser  vraag of een geactualisserde deelnemerslijst van de tafels nog een keer kan worden  rond gestuurd. Dan kan ook bepaald worden wie ‘we’ is bij de afzonderlijke uitvoeringsplannen per tafel. </w:t>
        <w:br/>
        <w:t xml:space="preserve">Volkert Vintges heeft afgelopen dinsdag met een aantal deelnemers van de tafel Biomassa de film Cowspiracy gezien en deelgenomen aan de discussie. De film laat zien wat de impact van de veeteelt op klimaat, natuur en leefomgeving is. De film doet een pleidooi om van dierlijke eiwitten over te stappen op plantaardige eiwitten.  </w:t>
        <w:br/>
        <w:br/>
      </w:r>
      <w:r>
        <w:rPr>
          <w:b/>
        </w:rPr>
        <w:t>6. Sluiting</w:t>
      </w:r>
      <w:r>
        <w:rPr/>
        <w:br/>
        <w:t xml:space="preserve">Voorzitter Gijs Linthorst geeft aan dat het Uitvoeringsplan door de Borgingscommissie is aangenomen waarbij er nog een aantal uitwerkingen/ aanpassingen zoals zojuist besproken, worden uitgevoerd. Hij bedankt de deelnemers voor hun deelname en inbreng aan de vergadering van de Borgingscommissie. Hij nodigt iedereen uit voor het GEA congres op 17 maart (17.30u kantoor Alliander te Duiven). Van belang is ook dat iedereen haar/ zijn  achterban uitnodigt. Hij sluit de vergadering. </w:t>
      </w:r>
    </w:p>
    <w:p>
      <w:pPr>
        <w:pStyle w:val="Normal"/>
        <w:rPr/>
      </w:pPr>
      <w:r>
        <w:rPr/>
      </w:r>
    </w:p>
    <w:sectPr>
      <w:footerReference w:type="default" r:id="rId2"/>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930627091"/>
    </w:sdtPr>
    <w:sdtContent>
      <w:p>
        <w:pPr>
          <w:pStyle w:val="Footer"/>
          <w:jc w:val="center"/>
          <w:rPr/>
        </w:pPr>
        <w:r>
          <w:rPr/>
          <w:fldChar w:fldCharType="begin"/>
        </w:r>
        <w:r>
          <w:instrText> PAGE </w:instrText>
        </w:r>
        <w:r>
          <w:fldChar w:fldCharType="separate"/>
        </w:r>
        <w:r>
          <w:t>12</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http://www.rvo.nl/kansen-voor-energie-efficiency-met-nieuwe-richtlijn-eed   http://www.energieoverheid.nl/2016/02/04/bedrijven-vragen-uitstel-energie-audit/</w:t>
      </w:r>
    </w:p>
    <w:p>
      <w:pPr>
        <w:pStyle w:val="Footnote"/>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VoetnoottekstChar" w:customStyle="1">
    <w:name w:val="Voetnoottekst Char"/>
    <w:basedOn w:val="DefaultParagraphFont"/>
    <w:link w:val="Voetnoottekst"/>
    <w:uiPriority w:val="99"/>
    <w:semiHidden/>
    <w:qFormat/>
    <w:rsid w:val="00c412b7"/>
    <w:rPr>
      <w:sz w:val="20"/>
      <w:szCs w:val="20"/>
    </w:rPr>
  </w:style>
  <w:style w:type="character" w:styleId="Footnotereference">
    <w:name w:val="footnote reference"/>
    <w:basedOn w:val="DefaultParagraphFont"/>
    <w:uiPriority w:val="99"/>
    <w:semiHidden/>
    <w:unhideWhenUsed/>
    <w:qFormat/>
    <w:rsid w:val="00c412b7"/>
    <w:rPr>
      <w:vertAlign w:val="superscript"/>
    </w:rPr>
  </w:style>
  <w:style w:type="character" w:styleId="KoptekstChar" w:customStyle="1">
    <w:name w:val="Koptekst Char"/>
    <w:basedOn w:val="DefaultParagraphFont"/>
    <w:link w:val="Koptekst"/>
    <w:uiPriority w:val="99"/>
    <w:qFormat/>
    <w:rsid w:val="00fa15d0"/>
    <w:rPr/>
  </w:style>
  <w:style w:type="character" w:styleId="VoettekstChar" w:customStyle="1">
    <w:name w:val="Voettekst Char"/>
    <w:basedOn w:val="DefaultParagraphFont"/>
    <w:link w:val="Voettekst"/>
    <w:uiPriority w:val="99"/>
    <w:qFormat/>
    <w:rsid w:val="00fa15d0"/>
    <w:rPr/>
  </w:style>
  <w:style w:type="character" w:styleId="Annotationreference">
    <w:name w:val="annotation reference"/>
    <w:basedOn w:val="DefaultParagraphFont"/>
    <w:uiPriority w:val="99"/>
    <w:semiHidden/>
    <w:unhideWhenUsed/>
    <w:qFormat/>
    <w:rsid w:val="00751431"/>
    <w:rPr>
      <w:sz w:val="16"/>
      <w:szCs w:val="16"/>
    </w:rPr>
  </w:style>
  <w:style w:type="character" w:styleId="TekstopmerkingChar" w:customStyle="1">
    <w:name w:val="Tekst opmerking Char"/>
    <w:basedOn w:val="DefaultParagraphFont"/>
    <w:link w:val="Tekstopmerking"/>
    <w:uiPriority w:val="99"/>
    <w:semiHidden/>
    <w:qFormat/>
    <w:rsid w:val="00751431"/>
    <w:rPr>
      <w:sz w:val="20"/>
      <w:szCs w:val="20"/>
    </w:rPr>
  </w:style>
  <w:style w:type="character" w:styleId="OnderwerpvanopmerkingChar" w:customStyle="1">
    <w:name w:val="Onderwerp van opmerking Char"/>
    <w:basedOn w:val="TekstopmerkingChar"/>
    <w:link w:val="Onderwerpvanopmerking"/>
    <w:uiPriority w:val="99"/>
    <w:semiHidden/>
    <w:qFormat/>
    <w:rsid w:val="00751431"/>
    <w:rPr>
      <w:b/>
      <w:bCs/>
      <w:sz w:val="20"/>
      <w:szCs w:val="20"/>
    </w:rPr>
  </w:style>
  <w:style w:type="character" w:styleId="BallontekstChar" w:customStyle="1">
    <w:name w:val="Ballontekst Char"/>
    <w:basedOn w:val="DefaultParagraphFont"/>
    <w:link w:val="Ballontekst"/>
    <w:uiPriority w:val="99"/>
    <w:semiHidden/>
    <w:qFormat/>
    <w:rsid w:val="00751431"/>
    <w:rPr>
      <w:rFonts w:ascii="Tahoma" w:hAnsi="Tahoma" w:cs="Tahoma"/>
      <w:sz w:val="16"/>
      <w:szCs w:val="16"/>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VoetnoottekstChar"/>
    <w:uiPriority w:val="99"/>
    <w:semiHidden/>
    <w:unhideWhenUsed/>
    <w:qFormat/>
    <w:rsid w:val="00c412b7"/>
    <w:pPr>
      <w:spacing w:lineRule="auto" w:line="240" w:before="0" w:after="0"/>
    </w:pPr>
    <w:rPr>
      <w:sz w:val="20"/>
      <w:szCs w:val="20"/>
    </w:rPr>
  </w:style>
  <w:style w:type="paragraph" w:styleId="Header">
    <w:name w:val="Header"/>
    <w:basedOn w:val="Normal"/>
    <w:link w:val="KoptekstChar"/>
    <w:uiPriority w:val="99"/>
    <w:unhideWhenUsed/>
    <w:rsid w:val="00fa15d0"/>
    <w:pPr>
      <w:tabs>
        <w:tab w:val="center" w:pos="4536" w:leader="none"/>
        <w:tab w:val="right" w:pos="9072" w:leader="none"/>
      </w:tabs>
      <w:spacing w:lineRule="auto" w:line="240" w:before="0" w:after="0"/>
    </w:pPr>
    <w:rPr/>
  </w:style>
  <w:style w:type="paragraph" w:styleId="Footer">
    <w:name w:val="Footer"/>
    <w:basedOn w:val="Normal"/>
    <w:link w:val="VoettekstChar"/>
    <w:uiPriority w:val="99"/>
    <w:unhideWhenUsed/>
    <w:rsid w:val="00fa15d0"/>
    <w:pPr>
      <w:tabs>
        <w:tab w:val="center" w:pos="4536" w:leader="none"/>
        <w:tab w:val="right" w:pos="9072" w:leader="none"/>
      </w:tabs>
      <w:spacing w:lineRule="auto" w:line="240" w:before="0" w:after="0"/>
    </w:pPr>
    <w:rPr/>
  </w:style>
  <w:style w:type="paragraph" w:styleId="Annotationtext">
    <w:name w:val="annotation text"/>
    <w:basedOn w:val="Normal"/>
    <w:link w:val="TekstopmerkingChar"/>
    <w:uiPriority w:val="99"/>
    <w:semiHidden/>
    <w:unhideWhenUsed/>
    <w:qFormat/>
    <w:rsid w:val="00751431"/>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751431"/>
    <w:pPr/>
    <w:rPr>
      <w:b/>
      <w:bCs/>
    </w:rPr>
  </w:style>
  <w:style w:type="paragraph" w:styleId="BalloonText">
    <w:name w:val="Balloon Text"/>
    <w:basedOn w:val="Normal"/>
    <w:link w:val="BallontekstChar"/>
    <w:uiPriority w:val="99"/>
    <w:semiHidden/>
    <w:unhideWhenUsed/>
    <w:qFormat/>
    <w:rsid w:val="00751431"/>
    <w:pPr>
      <w:spacing w:lineRule="auto" w:line="240" w:before="0" w:after="0"/>
    </w:pPr>
    <w:rPr>
      <w:rFonts w:ascii="Tahoma" w:hAnsi="Tahoma" w:cs="Tahoma"/>
      <w:sz w:val="16"/>
      <w:szCs w:val="16"/>
    </w:rPr>
  </w:style>
  <w:style w:type="paragraph" w:styleId="Footnote">
    <w:name w:val="Footnote"/>
    <w:basedOn w:val="Normal"/>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C9E2-3AC9-4880-950C-D49A5D16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2016-03-08T09:12:00Z</dcterms:created>
  <dc:creator>maartenvisschers</dc:creator>
  <dc:language>nl-NL</dc:language>
  <cp:lastModifiedBy>gmf13</cp:lastModifiedBy>
  <cp:lastPrinted>2016-03-08T07:25:00Z</cp:lastPrinted>
  <dcterms:modified xsi:type="dcterms:W3CDTF">2016-03-08T13:00:00Z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